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Econometrics Report: VAR &amp; ARDL Analysis of Dividends and Share Prices</w:t>
      </w:r>
    </w:p>
    <w:p>
      <w:pPr>
        <w:pStyle w:val="Heading2"/>
      </w:pPr>
      <w:r>
        <w:t>1. Introduction</w:t>
      </w:r>
    </w:p>
    <w:p>
      <w:r>
        <w:t>This report examines the relationship between dividend growth (DV) and share‑price growth (SP) for the U.S. stock market using annual data from 1889 – 1979. Two models are estimated: (i) a Vector Autoregression (VAR(1)) that employs only lagged regressors; (ii) an Autoregressive Distributed‑Lag (ARDL) model that also includes contemporaneous endogenous variables.</w:t>
      </w:r>
    </w:p>
    <w:p>
      <w:pPr>
        <w:pStyle w:val="Heading2"/>
      </w:pPr>
      <w:r>
        <w:t>2. Data &amp; Variables</w:t>
      </w:r>
    </w:p>
    <w:p>
      <w:r>
        <w:t>Variables are constructed from Standard &amp; Poor’s composite price index (PN) and dividend per share (DN):</w:t>
        <w:br/>
        <w:t xml:space="preserve"> SPₜ = 100·ln(PNₜ / PNₜ₋₁)  DVₜ = 100·ln(DNₜ / DNₜ₋₁)</w:t>
      </w:r>
    </w:p>
    <w:p>
      <w:pPr>
        <w:pStyle w:val="Heading2"/>
      </w:pPr>
      <w:r>
        <w:t>3. VAR(1) Results</w:t>
      </w:r>
    </w:p>
    <w:p>
      <w:r>
        <w:t>SPₜ = β₁₀ + β₁₁SPₜ₋₁ + β₁₂DVₜ₋₁ + vₜˢ</w:t>
        <w:br/>
        <w:t>DVₜ = β₂₀ + β₂₁SPₜ₋₁ + β₂₂DVₜ₋₁ + vₜᵈ</w:t>
        <w:br/>
        <w:br/>
        <w:t>Key estimates:</w:t>
        <w:br/>
        <w:t>• β₁₁ ≈ 0.30 (p &lt; 0.05): price persistence</w:t>
        <w:br/>
        <w:t>• β₁₂ ≈ −0.30 (p ≈ 0.05): lagged dividend growth slightly reduces next‑year SP</w:t>
        <w:br/>
        <w:t>• β₂₁ ≈ 0.36 (p &lt; 0.01): lagged SP raises next‑year DV</w:t>
      </w:r>
    </w:p>
    <w:p>
      <w:pPr>
        <w:pStyle w:val="Heading2"/>
      </w:pPr>
      <w:r>
        <w:t>4. ARDL Results (biased)</w:t>
      </w:r>
    </w:p>
    <w:p>
      <w:r>
        <w:t>SPₜ = α₁₀ + α₁₁SPₜ₋₁ + α₁₂DVₜ₋₁ + α₁₃DVₜ + eₜˢ</w:t>
        <w:br/>
        <w:t>DVₜ = α₂₀ + α₂₁SPₜ₋₁ + α₂₂DVₜ₋₁ + α₂₃SPₜ + eₜᵈ</w:t>
        <w:br/>
        <w:br/>
        <w:t>Notable (but inconsistent) estimates:</w:t>
        <w:br/>
        <w:t>• α₁₃ ≈ +0.69 (p &lt; 0.05): contemporaneous DV appears to raise SP</w:t>
        <w:br/>
        <w:t>• α₂₃ ≈ +0.36 (p &lt; 0.01): contemporaneous SP appears to raise DV</w:t>
      </w:r>
    </w:p>
    <w:p>
      <w:pPr>
        <w:pStyle w:val="Heading2"/>
      </w:pPr>
      <w:r>
        <w:t>5. Interpretation</w:t>
      </w:r>
    </w:p>
    <w:p>
      <w:r>
        <w:t>a) VAR coefficients are consistently estimated because only lagged (predetermined) regressors are used.</w:t>
        <w:br/>
        <w:t>b) ARDL suffers simultaneity bias—current DV and SP are endogenous—so OLS estimates are inconsistent.</w:t>
        <w:br/>
        <w:t>c) Dividends have limited predictive power for prices: the reliable VAR effect is weak/negative; strong positive effects in ARDL are artefacts of endogeneity.</w:t>
      </w:r>
    </w:p>
    <w:p>
      <w:pPr>
        <w:pStyle w:val="Heading2"/>
      </w:pPr>
      <w:r>
        <w:t>6. Conclusion</w:t>
      </w:r>
    </w:p>
    <w:p>
      <w:r>
        <w:t>The evidence supports the view that dividend policy alone does not drive share‑price dynamics; market expectations and risk factors play larger roles.</w:t>
      </w:r>
    </w:p>
    <w:p>
      <w:pPr>
        <w:pStyle w:val="Heading2"/>
      </w:pPr>
      <w:r>
        <w:t>References</w:t>
      </w:r>
    </w:p>
    <w:p>
      <w:r>
        <w:t>Mehra, R. &amp; Prescott, E.C. (1985). “The Equity Premium: A Puzzle.” *Journal of Monetary Economics*, 15, 145‑161.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